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04D2" w14:textId="36CE20CB" w:rsidR="00701DD1" w:rsidRDefault="007613F5" w:rsidP="007613F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2AEA81" wp14:editId="0B898C0A">
            <wp:simplePos x="0" y="0"/>
            <wp:positionH relativeFrom="margin">
              <wp:posOffset>6834187</wp:posOffset>
            </wp:positionH>
            <wp:positionV relativeFrom="paragraph">
              <wp:posOffset>-314325</wp:posOffset>
            </wp:positionV>
            <wp:extent cx="2202180" cy="101473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ca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14B" w:rsidRPr="0038014B">
        <w:t>Record Retention and Dispo</w:t>
      </w:r>
      <w:r w:rsidR="0038014B">
        <w:t>s</w:t>
      </w:r>
      <w:r w:rsidR="0038014B" w:rsidRPr="0038014B">
        <w:t xml:space="preserve">al </w:t>
      </w:r>
      <w:r w:rsidR="0038014B">
        <w:t>Schedule</w:t>
      </w:r>
    </w:p>
    <w:p w14:paraId="5F71C11B" w14:textId="2E3E855B" w:rsidR="0038014B" w:rsidRDefault="0038014B" w:rsidP="0038014B"/>
    <w:p w14:paraId="2F8EC50F" w14:textId="77777777" w:rsidR="00A5308A" w:rsidRDefault="00A5308A" w:rsidP="0038014B"/>
    <w:p w14:paraId="73A0E71E" w14:textId="63209D81" w:rsidR="0038014B" w:rsidRDefault="00762462" w:rsidP="00CE7B41">
      <w:pPr>
        <w:pStyle w:val="Heading3"/>
      </w:pPr>
      <w:r>
        <w:t>Introduction</w:t>
      </w:r>
    </w:p>
    <w:p w14:paraId="75473766" w14:textId="01B2A2B0" w:rsidR="00762462" w:rsidRDefault="00762462" w:rsidP="0038014B"/>
    <w:p w14:paraId="3D17F2F5" w14:textId="21DDC66D" w:rsidR="00250BDE" w:rsidRDefault="00250BDE" w:rsidP="0038014B">
      <w:r>
        <w:t xml:space="preserve">This Record Retention and Disposal Schedule sets the expectation </w:t>
      </w:r>
      <w:r w:rsidR="005B6312">
        <w:t xml:space="preserve">by FinCap, as the provider of Client Voices, </w:t>
      </w:r>
      <w:r>
        <w:t>for how records in Client Voices should be kept and deleted.</w:t>
      </w:r>
      <w:r w:rsidR="00F42C28">
        <w:t xml:space="preserve"> </w:t>
      </w:r>
    </w:p>
    <w:p w14:paraId="031A9E3A" w14:textId="2F34C959" w:rsidR="00F42C28" w:rsidRDefault="00F42C28" w:rsidP="0038014B"/>
    <w:p w14:paraId="171D309B" w14:textId="1B19114F" w:rsidR="00F42C28" w:rsidRDefault="00CE7B41" w:rsidP="0038014B">
      <w:r>
        <w:t xml:space="preserve">Your </w:t>
      </w:r>
      <w:r w:rsidR="00536A25">
        <w:t>agency</w:t>
      </w:r>
      <w:r>
        <w:t xml:space="preserve"> may </w:t>
      </w:r>
      <w:r w:rsidR="0099790C">
        <w:t xml:space="preserve">already have a Record Retention and Disposal Schedule or similar policy to control the retention </w:t>
      </w:r>
      <w:r w:rsidR="00895B3F">
        <w:t xml:space="preserve">and disposal </w:t>
      </w:r>
      <w:r w:rsidR="0099790C">
        <w:t xml:space="preserve">of </w:t>
      </w:r>
      <w:r w:rsidR="00895B3F">
        <w:t xml:space="preserve">sensitive information. </w:t>
      </w:r>
      <w:r w:rsidR="008A38B4">
        <w:t>If that is the case, follow your agency’s policies</w:t>
      </w:r>
      <w:r w:rsidR="00536A25">
        <w:t xml:space="preserve"> and guidance</w:t>
      </w:r>
      <w:r w:rsidR="008A38B4">
        <w:t>.</w:t>
      </w:r>
    </w:p>
    <w:p w14:paraId="2BB9B72D" w14:textId="0EB50B06" w:rsidR="00EA6504" w:rsidRDefault="00EA6504" w:rsidP="0038014B"/>
    <w:p w14:paraId="52749834" w14:textId="602B9DEA" w:rsidR="00EA6504" w:rsidRDefault="00EA6504" w:rsidP="0038014B">
      <w:r>
        <w:t>This schedule</w:t>
      </w:r>
      <w:r w:rsidR="00CD70D5">
        <w:t xml:space="preserve"> was created in </w:t>
      </w:r>
      <w:r w:rsidR="00B44F89">
        <w:t>accordance</w:t>
      </w:r>
      <w:r w:rsidR="00CD70D5">
        <w:t xml:space="preserve"> with </w:t>
      </w:r>
      <w:r w:rsidR="00253969" w:rsidRPr="00253969">
        <w:rPr>
          <w:i/>
          <w:iCs/>
        </w:rPr>
        <w:t>Information Privacy Principle 9</w:t>
      </w:r>
      <w:r w:rsidR="00253969">
        <w:t xml:space="preserve"> of </w:t>
      </w:r>
      <w:r w:rsidR="00CD70D5">
        <w:t xml:space="preserve">the </w:t>
      </w:r>
      <w:bookmarkStart w:id="0" w:name="_GoBack"/>
      <w:r w:rsidR="00CD70D5" w:rsidRPr="00253969">
        <w:rPr>
          <w:i/>
          <w:iCs/>
        </w:rPr>
        <w:t>Privacy Act 2020</w:t>
      </w:r>
      <w:bookmarkEnd w:id="0"/>
      <w:r w:rsidR="00CD70D5">
        <w:t>.</w:t>
      </w:r>
    </w:p>
    <w:p w14:paraId="0C55EA04" w14:textId="77777777" w:rsidR="00250BDE" w:rsidRDefault="00250BDE" w:rsidP="0038014B"/>
    <w:p w14:paraId="52179467" w14:textId="77777777" w:rsidR="00F42C28" w:rsidRDefault="00F42C28" w:rsidP="0038014B"/>
    <w:p w14:paraId="7CBC7096" w14:textId="136847AA" w:rsidR="00762462" w:rsidRDefault="00762462" w:rsidP="00F42C28">
      <w:pPr>
        <w:pStyle w:val="Heading3"/>
      </w:pPr>
      <w:r>
        <w:t>General guidance</w:t>
      </w:r>
    </w:p>
    <w:p w14:paraId="2291EDF8" w14:textId="5363192F" w:rsidR="00250BDE" w:rsidRDefault="00250BDE" w:rsidP="0038014B"/>
    <w:p w14:paraId="5A26C52C" w14:textId="0A21A425" w:rsidR="00D56E92" w:rsidRDefault="00D56E92" w:rsidP="009C5C73">
      <w:pPr>
        <w:pStyle w:val="ListParagraph"/>
        <w:numPr>
          <w:ilvl w:val="0"/>
          <w:numId w:val="2"/>
        </w:numPr>
      </w:pPr>
      <w:r>
        <w:t xml:space="preserve">Record examples given in this schedule are only representative of records types. They are not an exhaustive list and should not be used as such. </w:t>
      </w:r>
      <w:r w:rsidR="00956F2F">
        <w:t>Organisations</w:t>
      </w:r>
      <w:r>
        <w:t xml:space="preserve"> should compile their own list of example records that are covered by the various record classes.</w:t>
      </w:r>
    </w:p>
    <w:p w14:paraId="1443A550" w14:textId="77777777" w:rsidR="00D56E92" w:rsidRDefault="00D56E92" w:rsidP="00D56E92"/>
    <w:p w14:paraId="19EC86FB" w14:textId="42EC2C39" w:rsidR="00D90A12" w:rsidRDefault="00D90A12" w:rsidP="009C5C73">
      <w:pPr>
        <w:pStyle w:val="ListParagraph"/>
        <w:numPr>
          <w:ilvl w:val="0"/>
          <w:numId w:val="2"/>
        </w:numPr>
      </w:pPr>
      <w:r>
        <w:t xml:space="preserve">If you’re not sure of whether you have no legal use for a record, contact your Privacy Officer, or </w:t>
      </w:r>
      <w:r w:rsidR="009D451C">
        <w:t xml:space="preserve">consult the </w:t>
      </w:r>
      <w:r w:rsidR="008F0142">
        <w:t>Office of the Privacy Commissioner</w:t>
      </w:r>
      <w:r w:rsidR="009D451C">
        <w:t xml:space="preserve">. </w:t>
      </w:r>
    </w:p>
    <w:p w14:paraId="35864486" w14:textId="77777777" w:rsidR="00D56E92" w:rsidRDefault="00D56E92" w:rsidP="00D56E92"/>
    <w:p w14:paraId="1F44698D" w14:textId="2D872AEB" w:rsidR="00762462" w:rsidRDefault="00D56E92" w:rsidP="009C5C73">
      <w:pPr>
        <w:pStyle w:val="ListParagraph"/>
        <w:numPr>
          <w:ilvl w:val="0"/>
          <w:numId w:val="2"/>
        </w:numPr>
      </w:pPr>
      <w:r>
        <w:t xml:space="preserve">The onus is on each agency to establish their specific legal obligations for record retention relating to their </w:t>
      </w:r>
      <w:proofErr w:type="gramStart"/>
      <w:r>
        <w:t>particular function</w:t>
      </w:r>
      <w:proofErr w:type="gramEnd"/>
      <w:r>
        <w:t>.</w:t>
      </w:r>
    </w:p>
    <w:p w14:paraId="630AE3D7" w14:textId="3201FC26" w:rsidR="00762462" w:rsidRDefault="00762462" w:rsidP="0038014B"/>
    <w:p w14:paraId="11330C7C" w14:textId="6E7299E1" w:rsidR="007E5D18" w:rsidRDefault="007E5D18">
      <w:pPr>
        <w:spacing w:after="160" w:line="259" w:lineRule="auto"/>
        <w:contextualSpacing w:val="0"/>
      </w:pPr>
      <w: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37"/>
        <w:gridCol w:w="2260"/>
        <w:gridCol w:w="2977"/>
        <w:gridCol w:w="2969"/>
        <w:gridCol w:w="3410"/>
        <w:gridCol w:w="1195"/>
      </w:tblGrid>
      <w:tr w:rsidR="00C3558E" w14:paraId="207CAA33" w14:textId="77777777" w:rsidTr="00F57A97">
        <w:tc>
          <w:tcPr>
            <w:tcW w:w="1137" w:type="dxa"/>
            <w:shd w:val="clear" w:color="auto" w:fill="808080" w:themeFill="background1" w:themeFillShade="80"/>
          </w:tcPr>
          <w:p w14:paraId="37A23C5E" w14:textId="496E14A9" w:rsidR="001235AD" w:rsidRPr="009F5DCC" w:rsidRDefault="00533E0F" w:rsidP="0038014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5DCC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Class number</w:t>
            </w:r>
          </w:p>
        </w:tc>
        <w:tc>
          <w:tcPr>
            <w:tcW w:w="2260" w:type="dxa"/>
            <w:shd w:val="clear" w:color="auto" w:fill="808080" w:themeFill="background1" w:themeFillShade="80"/>
          </w:tcPr>
          <w:p w14:paraId="65F2BCCF" w14:textId="2CF93519" w:rsidR="001235AD" w:rsidRPr="009F5DCC" w:rsidRDefault="00533E0F" w:rsidP="0038014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5DCC">
              <w:rPr>
                <w:b/>
                <w:bCs/>
                <w:color w:val="FFFFFF" w:themeColor="background1"/>
                <w:sz w:val="28"/>
                <w:szCs w:val="28"/>
              </w:rPr>
              <w:t xml:space="preserve">Class </w:t>
            </w:r>
            <w:r w:rsidR="00F57A97">
              <w:rPr>
                <w:b/>
                <w:b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14:paraId="2C424929" w14:textId="65C9C9B5" w:rsidR="001235AD" w:rsidRPr="009F5DCC" w:rsidRDefault="003A109F" w:rsidP="0038014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5DCC">
              <w:rPr>
                <w:b/>
                <w:bCs/>
                <w:color w:val="FFFFFF" w:themeColor="background1"/>
                <w:sz w:val="28"/>
                <w:szCs w:val="28"/>
              </w:rPr>
              <w:t>Examples may include but are not limited to</w:t>
            </w:r>
          </w:p>
        </w:tc>
        <w:tc>
          <w:tcPr>
            <w:tcW w:w="2969" w:type="dxa"/>
            <w:shd w:val="clear" w:color="auto" w:fill="808080" w:themeFill="background1" w:themeFillShade="80"/>
          </w:tcPr>
          <w:p w14:paraId="05FD7C52" w14:textId="78E21A54" w:rsidR="001235AD" w:rsidRPr="009F5DCC" w:rsidRDefault="003A109F" w:rsidP="0038014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5DCC">
              <w:rPr>
                <w:b/>
                <w:bCs/>
                <w:color w:val="FFFFFF" w:themeColor="background1"/>
                <w:sz w:val="28"/>
                <w:szCs w:val="28"/>
              </w:rPr>
              <w:t>Excludes</w:t>
            </w:r>
          </w:p>
        </w:tc>
        <w:tc>
          <w:tcPr>
            <w:tcW w:w="3410" w:type="dxa"/>
            <w:shd w:val="clear" w:color="auto" w:fill="808080" w:themeFill="background1" w:themeFillShade="80"/>
          </w:tcPr>
          <w:p w14:paraId="689701C5" w14:textId="115E1324" w:rsidR="001235AD" w:rsidRPr="009F5DCC" w:rsidRDefault="00A2306A" w:rsidP="0038014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5DCC">
              <w:rPr>
                <w:b/>
                <w:bCs/>
                <w:color w:val="FFFFFF" w:themeColor="background1"/>
                <w:sz w:val="28"/>
                <w:szCs w:val="28"/>
              </w:rPr>
              <w:t>Minimum retention period by agencies</w:t>
            </w:r>
          </w:p>
        </w:tc>
        <w:tc>
          <w:tcPr>
            <w:tcW w:w="1195" w:type="dxa"/>
            <w:shd w:val="clear" w:color="auto" w:fill="808080" w:themeFill="background1" w:themeFillShade="80"/>
          </w:tcPr>
          <w:p w14:paraId="042BD450" w14:textId="5821737F" w:rsidR="001235AD" w:rsidRPr="009F5DCC" w:rsidRDefault="00A2306A" w:rsidP="0038014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5DCC">
              <w:rPr>
                <w:b/>
                <w:bCs/>
                <w:color w:val="FFFFFF" w:themeColor="background1"/>
                <w:sz w:val="28"/>
                <w:szCs w:val="28"/>
              </w:rPr>
              <w:t>Disposal Action</w:t>
            </w:r>
          </w:p>
        </w:tc>
      </w:tr>
      <w:tr w:rsidR="003B17EA" w14:paraId="138FA0F8" w14:textId="77777777" w:rsidTr="00F57A97">
        <w:tc>
          <w:tcPr>
            <w:tcW w:w="1137" w:type="dxa"/>
          </w:tcPr>
          <w:p w14:paraId="45CC0E7E" w14:textId="081F0777" w:rsidR="003B17EA" w:rsidRDefault="003B17EA" w:rsidP="0038014B">
            <w:r>
              <w:t>1</w:t>
            </w:r>
          </w:p>
        </w:tc>
        <w:tc>
          <w:tcPr>
            <w:tcW w:w="2260" w:type="dxa"/>
          </w:tcPr>
          <w:p w14:paraId="7B47CF62" w14:textId="77777777" w:rsidR="003B17EA" w:rsidRDefault="00914FD5" w:rsidP="0038014B">
            <w:pPr>
              <w:rPr>
                <w:b/>
                <w:bCs/>
              </w:rPr>
            </w:pPr>
            <w:r w:rsidRPr="00F57A97">
              <w:rPr>
                <w:b/>
                <w:bCs/>
              </w:rPr>
              <w:t>Staff records</w:t>
            </w:r>
          </w:p>
          <w:p w14:paraId="4054CD1E" w14:textId="7148698C" w:rsidR="005502B6" w:rsidRPr="00F57A97" w:rsidRDefault="005502B6" w:rsidP="004E64A0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7EFAE277" w14:textId="07B9C7F0" w:rsidR="003B17EA" w:rsidRDefault="00250F6E" w:rsidP="00D05835">
            <w:r>
              <w:t>Records of staff who have left your employment</w:t>
            </w:r>
          </w:p>
          <w:p w14:paraId="7D37E45A" w14:textId="77777777" w:rsidR="00D05835" w:rsidRDefault="00D05835" w:rsidP="00D05835"/>
          <w:p w14:paraId="65FDC8B5" w14:textId="43DB6826" w:rsidR="00F920E1" w:rsidRDefault="00F920E1" w:rsidP="00D05835">
            <w:r>
              <w:t xml:space="preserve">Staff records </w:t>
            </w:r>
            <w:r w:rsidR="00191170">
              <w:t>of volunteers</w:t>
            </w:r>
            <w:r w:rsidR="002F060A">
              <w:t xml:space="preserve"> not expected to return</w:t>
            </w:r>
          </w:p>
          <w:p w14:paraId="104DCD78" w14:textId="66239AEA" w:rsidR="00C3224C" w:rsidRPr="003A109F" w:rsidRDefault="00C3224C" w:rsidP="0038014B"/>
        </w:tc>
        <w:tc>
          <w:tcPr>
            <w:tcW w:w="2969" w:type="dxa"/>
          </w:tcPr>
          <w:p w14:paraId="13D038B5" w14:textId="423DFCED" w:rsidR="003B17EA" w:rsidRDefault="00C3224C" w:rsidP="00D05835">
            <w:r>
              <w:t>Records of staff on extended leave</w:t>
            </w:r>
          </w:p>
        </w:tc>
        <w:tc>
          <w:tcPr>
            <w:tcW w:w="3410" w:type="dxa"/>
          </w:tcPr>
          <w:p w14:paraId="361C2F80" w14:textId="69547C84" w:rsidR="003B17EA" w:rsidRPr="00A2306A" w:rsidRDefault="00365B47" w:rsidP="0038014B">
            <w:r>
              <w:t xml:space="preserve">Retain until staff member </w:t>
            </w:r>
            <w:r w:rsidR="00F920E1">
              <w:t>has ceased employment</w:t>
            </w:r>
          </w:p>
        </w:tc>
        <w:tc>
          <w:tcPr>
            <w:tcW w:w="1195" w:type="dxa"/>
          </w:tcPr>
          <w:p w14:paraId="725720BB" w14:textId="77C65370" w:rsidR="003B17EA" w:rsidRPr="00A2306A" w:rsidRDefault="00D47DFE" w:rsidP="0038014B">
            <w:r>
              <w:t>Deactivate</w:t>
            </w:r>
          </w:p>
        </w:tc>
      </w:tr>
      <w:tr w:rsidR="00914FD5" w14:paraId="6CDAAC81" w14:textId="77777777" w:rsidTr="00F57A97">
        <w:tc>
          <w:tcPr>
            <w:tcW w:w="1137" w:type="dxa"/>
          </w:tcPr>
          <w:p w14:paraId="54F78739" w14:textId="1C18D02B" w:rsidR="00914FD5" w:rsidRDefault="00914FD5" w:rsidP="0038014B">
            <w:r>
              <w:t>2</w:t>
            </w:r>
          </w:p>
        </w:tc>
        <w:tc>
          <w:tcPr>
            <w:tcW w:w="2260" w:type="dxa"/>
          </w:tcPr>
          <w:p w14:paraId="3C31C3CA" w14:textId="77777777" w:rsidR="00914FD5" w:rsidRDefault="002C51A6" w:rsidP="0038014B">
            <w:pPr>
              <w:rPr>
                <w:b/>
                <w:bCs/>
              </w:rPr>
            </w:pPr>
            <w:r w:rsidRPr="00F57A97">
              <w:rPr>
                <w:b/>
                <w:bCs/>
              </w:rPr>
              <w:t>Client records</w:t>
            </w:r>
          </w:p>
          <w:p w14:paraId="5C30F2B3" w14:textId="77777777" w:rsidR="007A47B1" w:rsidRDefault="007A47B1" w:rsidP="007A47B1">
            <w:pPr>
              <w:rPr>
                <w:b/>
                <w:bCs/>
              </w:rPr>
            </w:pPr>
          </w:p>
          <w:p w14:paraId="5CDBB775" w14:textId="77777777" w:rsidR="007A47B1" w:rsidRPr="005502B6" w:rsidRDefault="007A47B1" w:rsidP="007A47B1">
            <w:pPr>
              <w:rPr>
                <w:sz w:val="18"/>
                <w:szCs w:val="18"/>
              </w:rPr>
            </w:pPr>
            <w:r w:rsidRPr="007A47B1">
              <w:rPr>
                <w:b/>
                <w:bCs/>
                <w:sz w:val="18"/>
                <w:szCs w:val="18"/>
              </w:rPr>
              <w:t xml:space="preserve">Includes: </w:t>
            </w:r>
            <w:r w:rsidRPr="005502B6">
              <w:rPr>
                <w:sz w:val="18"/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Last name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Iwi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Referral point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Phone number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Mobile phone number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Email address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Gender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 xml:space="preserve">, </w:t>
            </w:r>
            <w:r w:rsidRPr="005502B6">
              <w:rPr>
                <w:sz w:val="18"/>
                <w:szCs w:val="18"/>
              </w:rPr>
              <w:t>Dependent children under</w:t>
            </w:r>
            <w:r>
              <w:rPr>
                <w:sz w:val="18"/>
                <w:szCs w:val="18"/>
              </w:rPr>
              <w:t>,</w:t>
            </w:r>
          </w:p>
          <w:p w14:paraId="370B6C53" w14:textId="7419FC10" w:rsidR="007A47B1" w:rsidRPr="00F57A97" w:rsidRDefault="007A47B1" w:rsidP="007A47B1">
            <w:pPr>
              <w:rPr>
                <w:b/>
                <w:bCs/>
              </w:rPr>
            </w:pPr>
            <w:r w:rsidRPr="005502B6">
              <w:rPr>
                <w:sz w:val="18"/>
                <w:szCs w:val="18"/>
              </w:rPr>
              <w:t>Client number</w:t>
            </w:r>
          </w:p>
        </w:tc>
        <w:tc>
          <w:tcPr>
            <w:tcW w:w="2977" w:type="dxa"/>
          </w:tcPr>
          <w:p w14:paraId="4D582D4F" w14:textId="7A8141FE" w:rsidR="00914FD5" w:rsidRDefault="000A0CBE" w:rsidP="0038014B">
            <w:r>
              <w:t xml:space="preserve">Records of clients you have not seen </w:t>
            </w:r>
            <w:r w:rsidR="0077505A">
              <w:t>for a long time, and have no legal use for</w:t>
            </w:r>
          </w:p>
          <w:p w14:paraId="06EF5F4E" w14:textId="77777777" w:rsidR="000A0CBE" w:rsidRDefault="000A0CBE" w:rsidP="0038014B"/>
          <w:p w14:paraId="4C478518" w14:textId="534E0B37" w:rsidR="000A0CBE" w:rsidRPr="003A109F" w:rsidRDefault="000A0CBE" w:rsidP="0038014B">
            <w:r>
              <w:t xml:space="preserve">Records </w:t>
            </w:r>
            <w:r w:rsidR="0077505A">
              <w:t xml:space="preserve">which fall outside </w:t>
            </w:r>
            <w:r w:rsidR="00A156F2">
              <w:t xml:space="preserve">the date range of </w:t>
            </w:r>
            <w:r w:rsidR="0077505A">
              <w:t xml:space="preserve">any of your </w:t>
            </w:r>
            <w:r w:rsidR="00A156F2">
              <w:t>current reporting obligations</w:t>
            </w:r>
          </w:p>
        </w:tc>
        <w:tc>
          <w:tcPr>
            <w:tcW w:w="2969" w:type="dxa"/>
          </w:tcPr>
          <w:p w14:paraId="6EC9B47F" w14:textId="0B630776" w:rsidR="00914FD5" w:rsidRDefault="00573F4F" w:rsidP="0038014B">
            <w:r>
              <w:t>Records you still need for reporting obligations</w:t>
            </w:r>
          </w:p>
        </w:tc>
        <w:tc>
          <w:tcPr>
            <w:tcW w:w="3410" w:type="dxa"/>
          </w:tcPr>
          <w:p w14:paraId="4B1E509D" w14:textId="17394D3F" w:rsidR="00914FD5" w:rsidRPr="00A2306A" w:rsidRDefault="00A22279" w:rsidP="0038014B">
            <w:r>
              <w:t>Retain only until you have no legal use for</w:t>
            </w:r>
          </w:p>
        </w:tc>
        <w:tc>
          <w:tcPr>
            <w:tcW w:w="1195" w:type="dxa"/>
          </w:tcPr>
          <w:p w14:paraId="65078733" w14:textId="31FDE6F2" w:rsidR="00914FD5" w:rsidRPr="00A2306A" w:rsidRDefault="00A22279" w:rsidP="0038014B">
            <w:r>
              <w:t>Delete</w:t>
            </w:r>
          </w:p>
        </w:tc>
      </w:tr>
      <w:tr w:rsidR="002C51A6" w14:paraId="41D041DC" w14:textId="77777777" w:rsidTr="00F57A97">
        <w:tc>
          <w:tcPr>
            <w:tcW w:w="1137" w:type="dxa"/>
          </w:tcPr>
          <w:p w14:paraId="3787D25A" w14:textId="6D7B6491" w:rsidR="002C51A6" w:rsidRDefault="002C51A6" w:rsidP="0038014B">
            <w:r>
              <w:t>3</w:t>
            </w:r>
          </w:p>
        </w:tc>
        <w:tc>
          <w:tcPr>
            <w:tcW w:w="2260" w:type="dxa"/>
          </w:tcPr>
          <w:p w14:paraId="4424E52B" w14:textId="77777777" w:rsidR="002C51A6" w:rsidRDefault="002C51A6" w:rsidP="0038014B">
            <w:pPr>
              <w:rPr>
                <w:b/>
                <w:bCs/>
              </w:rPr>
            </w:pPr>
            <w:r w:rsidRPr="00F57A97">
              <w:rPr>
                <w:b/>
                <w:bCs/>
              </w:rPr>
              <w:t>Client Cases</w:t>
            </w:r>
          </w:p>
          <w:p w14:paraId="56787019" w14:textId="77777777" w:rsidR="005B0619" w:rsidRDefault="005B0619" w:rsidP="005B0619">
            <w:pPr>
              <w:rPr>
                <w:b/>
                <w:bCs/>
              </w:rPr>
            </w:pPr>
          </w:p>
          <w:p w14:paraId="657141E0" w14:textId="54CBCEE8" w:rsidR="005B0619" w:rsidRPr="00F57A97" w:rsidRDefault="005B0619" w:rsidP="005B0619">
            <w:pPr>
              <w:rPr>
                <w:b/>
                <w:bCs/>
              </w:rPr>
            </w:pPr>
            <w:r w:rsidRPr="007A47B1">
              <w:rPr>
                <w:b/>
                <w:bCs/>
                <w:sz w:val="18"/>
                <w:szCs w:val="18"/>
              </w:rPr>
              <w:t>Includes: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B0619">
              <w:rPr>
                <w:sz w:val="18"/>
                <w:szCs w:val="18"/>
              </w:rPr>
              <w:t>Case details, Sessions</w:t>
            </w:r>
            <w:r>
              <w:rPr>
                <w:sz w:val="18"/>
                <w:szCs w:val="18"/>
              </w:rPr>
              <w:t xml:space="preserve"> (budgets</w:t>
            </w:r>
            <w:r w:rsidR="007B6039">
              <w:rPr>
                <w:sz w:val="18"/>
                <w:szCs w:val="18"/>
              </w:rPr>
              <w:t>, debt schedules</w:t>
            </w:r>
            <w:r>
              <w:rPr>
                <w:sz w:val="18"/>
                <w:szCs w:val="18"/>
              </w:rPr>
              <w:t>)</w:t>
            </w:r>
          </w:p>
          <w:p w14:paraId="709D907F" w14:textId="4A98B6AF" w:rsidR="005B0619" w:rsidRPr="00F57A97" w:rsidRDefault="005B0619" w:rsidP="005B061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2E5F58F7" w14:textId="77777777" w:rsidR="00AA6A47" w:rsidRDefault="00AA6A47" w:rsidP="00AA6A47">
            <w:r>
              <w:t>Records of clients you have not seen for a long time, and have no legal use for</w:t>
            </w:r>
          </w:p>
          <w:p w14:paraId="1AE4D6EC" w14:textId="77777777" w:rsidR="00AA6A47" w:rsidRDefault="00AA6A47" w:rsidP="00AA6A47"/>
          <w:p w14:paraId="67BD551D" w14:textId="5815D162" w:rsidR="002C51A6" w:rsidRPr="003A109F" w:rsidRDefault="00AA6A47" w:rsidP="00AA6A47">
            <w:r>
              <w:t>Records which fall outside the date range of any of your current reporting obligations</w:t>
            </w:r>
          </w:p>
        </w:tc>
        <w:tc>
          <w:tcPr>
            <w:tcW w:w="2969" w:type="dxa"/>
          </w:tcPr>
          <w:p w14:paraId="657738D6" w14:textId="2163B19A" w:rsidR="002C51A6" w:rsidRDefault="00573F4F" w:rsidP="0038014B">
            <w:r>
              <w:t>Records you still need for reporting obligations</w:t>
            </w:r>
          </w:p>
        </w:tc>
        <w:tc>
          <w:tcPr>
            <w:tcW w:w="3410" w:type="dxa"/>
          </w:tcPr>
          <w:p w14:paraId="29CC5AE3" w14:textId="1848D1CF" w:rsidR="002C51A6" w:rsidRPr="00A2306A" w:rsidRDefault="00A22279" w:rsidP="0038014B">
            <w:r>
              <w:t>Retain only until you have no legal use for</w:t>
            </w:r>
          </w:p>
        </w:tc>
        <w:tc>
          <w:tcPr>
            <w:tcW w:w="1195" w:type="dxa"/>
          </w:tcPr>
          <w:p w14:paraId="1FC77495" w14:textId="62B7FA86" w:rsidR="002C51A6" w:rsidRPr="00A2306A" w:rsidRDefault="00585FC6" w:rsidP="0038014B">
            <w:r>
              <w:t>Delete</w:t>
            </w:r>
          </w:p>
        </w:tc>
      </w:tr>
      <w:tr w:rsidR="00E31F85" w14:paraId="1602FAAC" w14:textId="77777777" w:rsidTr="00F57A97">
        <w:tc>
          <w:tcPr>
            <w:tcW w:w="1137" w:type="dxa"/>
          </w:tcPr>
          <w:p w14:paraId="0CAC2DAD" w14:textId="7B4D1B77" w:rsidR="00E31F85" w:rsidRDefault="00196CCE" w:rsidP="0038014B">
            <w:r>
              <w:t>4</w:t>
            </w:r>
          </w:p>
        </w:tc>
        <w:tc>
          <w:tcPr>
            <w:tcW w:w="2260" w:type="dxa"/>
          </w:tcPr>
          <w:p w14:paraId="4460FE45" w14:textId="4D88BED8" w:rsidR="00E31F85" w:rsidRPr="00F57A97" w:rsidRDefault="00E31F85" w:rsidP="0038014B">
            <w:pPr>
              <w:rPr>
                <w:b/>
                <w:bCs/>
              </w:rPr>
            </w:pPr>
            <w:r>
              <w:rPr>
                <w:b/>
                <w:bCs/>
              </w:rPr>
              <w:t>Community Education</w:t>
            </w:r>
          </w:p>
        </w:tc>
        <w:tc>
          <w:tcPr>
            <w:tcW w:w="2977" w:type="dxa"/>
          </w:tcPr>
          <w:p w14:paraId="53471F70" w14:textId="77777777" w:rsidR="00BB3E64" w:rsidRDefault="00BB3E64" w:rsidP="00BB3E64">
            <w:r>
              <w:t>Course records you have no legal use for</w:t>
            </w:r>
          </w:p>
          <w:p w14:paraId="6A8DFC14" w14:textId="77777777" w:rsidR="00BB3E64" w:rsidRDefault="00BB3E64" w:rsidP="00BB3E64"/>
          <w:p w14:paraId="58076E4A" w14:textId="640C76C9" w:rsidR="00E31F85" w:rsidRPr="003A109F" w:rsidRDefault="00BB3E64" w:rsidP="00BB3E64">
            <w:r>
              <w:t xml:space="preserve">Course records which fall outside the date range of any </w:t>
            </w:r>
            <w:r>
              <w:lastRenderedPageBreak/>
              <w:t>of your current reporting obligations</w:t>
            </w:r>
          </w:p>
        </w:tc>
        <w:tc>
          <w:tcPr>
            <w:tcW w:w="2969" w:type="dxa"/>
          </w:tcPr>
          <w:p w14:paraId="301EE2D4" w14:textId="08A12116" w:rsidR="00E31F85" w:rsidRDefault="00573F4F" w:rsidP="0038014B">
            <w:r>
              <w:lastRenderedPageBreak/>
              <w:t>Records you still need for reporting obligations</w:t>
            </w:r>
          </w:p>
        </w:tc>
        <w:tc>
          <w:tcPr>
            <w:tcW w:w="3410" w:type="dxa"/>
          </w:tcPr>
          <w:p w14:paraId="2BF09F9B" w14:textId="0773702F" w:rsidR="00E31F85" w:rsidRPr="00A2306A" w:rsidRDefault="00BB3E64" w:rsidP="0038014B">
            <w:r>
              <w:t>Retain only until you have no legal use for</w:t>
            </w:r>
          </w:p>
        </w:tc>
        <w:tc>
          <w:tcPr>
            <w:tcW w:w="1195" w:type="dxa"/>
          </w:tcPr>
          <w:p w14:paraId="4927C6D0" w14:textId="0358EC8E" w:rsidR="00E31F85" w:rsidRPr="00A2306A" w:rsidRDefault="00585FC6" w:rsidP="0038014B">
            <w:r>
              <w:t>Delete</w:t>
            </w:r>
          </w:p>
        </w:tc>
      </w:tr>
      <w:tr w:rsidR="00C3558E" w14:paraId="4A82F585" w14:textId="77777777" w:rsidTr="00F57A97">
        <w:tc>
          <w:tcPr>
            <w:tcW w:w="1137" w:type="dxa"/>
          </w:tcPr>
          <w:p w14:paraId="0B50FF74" w14:textId="58238B68" w:rsidR="00C3558E" w:rsidRDefault="00196CCE" w:rsidP="0038014B">
            <w:r>
              <w:t>5</w:t>
            </w:r>
          </w:p>
        </w:tc>
        <w:tc>
          <w:tcPr>
            <w:tcW w:w="2260" w:type="dxa"/>
          </w:tcPr>
          <w:p w14:paraId="281878DB" w14:textId="77777777" w:rsidR="00C3558E" w:rsidRDefault="00C3558E" w:rsidP="0038014B">
            <w:pPr>
              <w:rPr>
                <w:b/>
                <w:bCs/>
              </w:rPr>
            </w:pPr>
            <w:r>
              <w:rPr>
                <w:b/>
                <w:bCs/>
              </w:rPr>
              <w:t>Appointments</w:t>
            </w:r>
          </w:p>
          <w:p w14:paraId="552B7A01" w14:textId="77777777" w:rsidR="00C3558E" w:rsidRDefault="00C3558E" w:rsidP="0038014B">
            <w:pPr>
              <w:rPr>
                <w:b/>
                <w:bCs/>
              </w:rPr>
            </w:pPr>
          </w:p>
          <w:p w14:paraId="778AEC49" w14:textId="7C625B1D" w:rsidR="00C3558E" w:rsidRPr="00F57A97" w:rsidRDefault="00C3558E" w:rsidP="00C3558E">
            <w:pPr>
              <w:rPr>
                <w:b/>
                <w:bCs/>
              </w:rPr>
            </w:pPr>
            <w:r w:rsidRPr="007A47B1">
              <w:rPr>
                <w:b/>
                <w:bCs/>
                <w:sz w:val="18"/>
                <w:szCs w:val="18"/>
              </w:rPr>
              <w:t>Includes: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74096" w:rsidRPr="00A74096">
              <w:rPr>
                <w:sz w:val="18"/>
                <w:szCs w:val="18"/>
              </w:rPr>
              <w:t>Appointme</w:t>
            </w:r>
            <w:r w:rsidR="00A74096">
              <w:rPr>
                <w:sz w:val="18"/>
                <w:szCs w:val="18"/>
              </w:rPr>
              <w:t>nts</w:t>
            </w:r>
            <w:r w:rsidR="00A74096">
              <w:rPr>
                <w:b/>
                <w:bCs/>
                <w:sz w:val="18"/>
                <w:szCs w:val="18"/>
              </w:rPr>
              <w:t xml:space="preserve">, </w:t>
            </w:r>
            <w:r w:rsidR="000A5269">
              <w:rPr>
                <w:sz w:val="18"/>
                <w:szCs w:val="18"/>
              </w:rPr>
              <w:t>No Shows</w:t>
            </w:r>
          </w:p>
          <w:p w14:paraId="3D64C13C" w14:textId="2837963A" w:rsidR="00C3558E" w:rsidRDefault="00C3558E" w:rsidP="0038014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D35EFF6" w14:textId="2AF8404C" w:rsidR="00BB3E64" w:rsidRDefault="00BB3E64" w:rsidP="00BB3E64">
            <w:r>
              <w:t>Appointment records you have no legal use for</w:t>
            </w:r>
          </w:p>
          <w:p w14:paraId="29437C45" w14:textId="77777777" w:rsidR="00BB3E64" w:rsidRDefault="00BB3E64" w:rsidP="00BB3E64"/>
          <w:p w14:paraId="5D55E832" w14:textId="1D033CFC" w:rsidR="00C3558E" w:rsidRPr="003A109F" w:rsidRDefault="00BB3E64" w:rsidP="00BB3E64">
            <w:r>
              <w:t>Course records which fall outside the date range of any of your current reporting obligations</w:t>
            </w:r>
          </w:p>
        </w:tc>
        <w:tc>
          <w:tcPr>
            <w:tcW w:w="2969" w:type="dxa"/>
          </w:tcPr>
          <w:p w14:paraId="43B9B85B" w14:textId="287F0F0D" w:rsidR="00C3558E" w:rsidRDefault="00573F4F" w:rsidP="0038014B">
            <w:r>
              <w:t>Records you still need for reporting obligations</w:t>
            </w:r>
          </w:p>
        </w:tc>
        <w:tc>
          <w:tcPr>
            <w:tcW w:w="3410" w:type="dxa"/>
          </w:tcPr>
          <w:p w14:paraId="46E24E01" w14:textId="4E244088" w:rsidR="00C3558E" w:rsidRPr="00A2306A" w:rsidRDefault="0088251F" w:rsidP="0038014B">
            <w:r>
              <w:t>Retain only until you have no legal use for</w:t>
            </w:r>
          </w:p>
        </w:tc>
        <w:tc>
          <w:tcPr>
            <w:tcW w:w="1195" w:type="dxa"/>
          </w:tcPr>
          <w:p w14:paraId="72D7591F" w14:textId="0577BDE2" w:rsidR="00C3558E" w:rsidRPr="00A2306A" w:rsidRDefault="00585FC6" w:rsidP="0038014B">
            <w:r>
              <w:t>Delete</w:t>
            </w:r>
          </w:p>
        </w:tc>
      </w:tr>
      <w:tr w:rsidR="0006540B" w14:paraId="1A6CD4A9" w14:textId="77777777" w:rsidTr="00F57A97">
        <w:tc>
          <w:tcPr>
            <w:tcW w:w="1137" w:type="dxa"/>
          </w:tcPr>
          <w:p w14:paraId="2A965AC2" w14:textId="542C536A" w:rsidR="0006540B" w:rsidRDefault="00196CCE" w:rsidP="0038014B">
            <w:r>
              <w:t>6</w:t>
            </w:r>
          </w:p>
        </w:tc>
        <w:tc>
          <w:tcPr>
            <w:tcW w:w="2260" w:type="dxa"/>
          </w:tcPr>
          <w:p w14:paraId="65247C25" w14:textId="62041E96" w:rsidR="0006540B" w:rsidRPr="00F57A97" w:rsidRDefault="003E169D" w:rsidP="0038014B">
            <w:pPr>
              <w:rPr>
                <w:b/>
                <w:bCs/>
              </w:rPr>
            </w:pPr>
            <w:r>
              <w:rPr>
                <w:b/>
                <w:bCs/>
              </w:rPr>
              <w:t>Files uploaded</w:t>
            </w:r>
          </w:p>
        </w:tc>
        <w:tc>
          <w:tcPr>
            <w:tcW w:w="2977" w:type="dxa"/>
          </w:tcPr>
          <w:p w14:paraId="43BB9612" w14:textId="30136A6C" w:rsidR="0006540B" w:rsidRPr="003A109F" w:rsidRDefault="00D806E4" w:rsidP="0038014B">
            <w:r>
              <w:t xml:space="preserve">Files uploaded for </w:t>
            </w:r>
            <w:r w:rsidR="000306EC">
              <w:t>cases that are now closed</w:t>
            </w:r>
          </w:p>
        </w:tc>
        <w:tc>
          <w:tcPr>
            <w:tcW w:w="2969" w:type="dxa"/>
          </w:tcPr>
          <w:p w14:paraId="0E790955" w14:textId="77777777" w:rsidR="0006540B" w:rsidRDefault="0006540B" w:rsidP="0038014B"/>
        </w:tc>
        <w:tc>
          <w:tcPr>
            <w:tcW w:w="3410" w:type="dxa"/>
          </w:tcPr>
          <w:p w14:paraId="5467BEB8" w14:textId="10581EFE" w:rsidR="0006540B" w:rsidRPr="00A2306A" w:rsidRDefault="00D806E4" w:rsidP="0038014B">
            <w:r>
              <w:t xml:space="preserve">Retain </w:t>
            </w:r>
            <w:r w:rsidR="000306EC">
              <w:t>only file you need to support the client during their case.</w:t>
            </w:r>
          </w:p>
        </w:tc>
        <w:tc>
          <w:tcPr>
            <w:tcW w:w="1195" w:type="dxa"/>
          </w:tcPr>
          <w:p w14:paraId="2B0C8591" w14:textId="1B5CB2E4" w:rsidR="0006540B" w:rsidRPr="00A2306A" w:rsidRDefault="000306EC" w:rsidP="0038014B">
            <w:r>
              <w:t>Delete</w:t>
            </w:r>
          </w:p>
        </w:tc>
      </w:tr>
      <w:tr w:rsidR="00196CCE" w14:paraId="777CB346" w14:textId="77777777" w:rsidTr="00F57A97">
        <w:tc>
          <w:tcPr>
            <w:tcW w:w="1137" w:type="dxa"/>
          </w:tcPr>
          <w:p w14:paraId="4F10F617" w14:textId="512D6014" w:rsidR="00196CCE" w:rsidRDefault="00196CCE" w:rsidP="0038014B">
            <w:r>
              <w:t>7</w:t>
            </w:r>
          </w:p>
        </w:tc>
        <w:tc>
          <w:tcPr>
            <w:tcW w:w="2260" w:type="dxa"/>
          </w:tcPr>
          <w:p w14:paraId="58BD9D4E" w14:textId="152896C9" w:rsidR="00196CCE" w:rsidRDefault="00196CCE" w:rsidP="0038014B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2977" w:type="dxa"/>
          </w:tcPr>
          <w:p w14:paraId="3472DF3D" w14:textId="77777777" w:rsidR="00196CCE" w:rsidRDefault="00C413D4" w:rsidP="0038014B">
            <w:r>
              <w:t xml:space="preserve">Notes with </w:t>
            </w:r>
            <w:r w:rsidR="000C32EC">
              <w:t>sensitive information about the client</w:t>
            </w:r>
          </w:p>
          <w:p w14:paraId="12BD83BF" w14:textId="77777777" w:rsidR="000C32EC" w:rsidRDefault="000C32EC" w:rsidP="0038014B"/>
          <w:p w14:paraId="7D48A814" w14:textId="303DA05F" w:rsidR="000C32EC" w:rsidRDefault="0088251F" w:rsidP="0038014B">
            <w:r>
              <w:t>Notes for client records you have no legal use for</w:t>
            </w:r>
          </w:p>
        </w:tc>
        <w:tc>
          <w:tcPr>
            <w:tcW w:w="2969" w:type="dxa"/>
          </w:tcPr>
          <w:p w14:paraId="6764F2EF" w14:textId="7FD27969" w:rsidR="00196CCE" w:rsidRDefault="00C413D4" w:rsidP="0038014B">
            <w:r>
              <w:t>Consolidated notes without specific details that may be useful for a possible future case</w:t>
            </w:r>
          </w:p>
        </w:tc>
        <w:tc>
          <w:tcPr>
            <w:tcW w:w="3410" w:type="dxa"/>
          </w:tcPr>
          <w:p w14:paraId="26C8BBC7" w14:textId="5FCC746D" w:rsidR="00196CCE" w:rsidRDefault="0088251F" w:rsidP="0038014B">
            <w:r>
              <w:t>Retain only until you have no legal use for</w:t>
            </w:r>
          </w:p>
        </w:tc>
        <w:tc>
          <w:tcPr>
            <w:tcW w:w="1195" w:type="dxa"/>
          </w:tcPr>
          <w:p w14:paraId="7DD88BEB" w14:textId="59840A9D" w:rsidR="00196CCE" w:rsidRDefault="0088251F" w:rsidP="0038014B">
            <w:r>
              <w:t>Delete</w:t>
            </w:r>
          </w:p>
        </w:tc>
      </w:tr>
    </w:tbl>
    <w:p w14:paraId="73D7FD70" w14:textId="77777777" w:rsidR="001235AD" w:rsidRPr="0038014B" w:rsidRDefault="001235AD" w:rsidP="0038014B"/>
    <w:sectPr w:rsidR="001235AD" w:rsidRPr="0038014B" w:rsidSect="001235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66F2"/>
    <w:multiLevelType w:val="hybridMultilevel"/>
    <w:tmpl w:val="99D88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269B"/>
    <w:multiLevelType w:val="hybridMultilevel"/>
    <w:tmpl w:val="AA2CE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CC"/>
    <w:rsid w:val="000306EC"/>
    <w:rsid w:val="0006540B"/>
    <w:rsid w:val="00096D4C"/>
    <w:rsid w:val="000A0CBE"/>
    <w:rsid w:val="000A5269"/>
    <w:rsid w:val="000C32EC"/>
    <w:rsid w:val="001235AD"/>
    <w:rsid w:val="00191170"/>
    <w:rsid w:val="00196CCE"/>
    <w:rsid w:val="002126D2"/>
    <w:rsid w:val="00250BDE"/>
    <w:rsid w:val="00250F6E"/>
    <w:rsid w:val="00253969"/>
    <w:rsid w:val="002C51A6"/>
    <w:rsid w:val="002F060A"/>
    <w:rsid w:val="00365B47"/>
    <w:rsid w:val="00371A5E"/>
    <w:rsid w:val="0038014B"/>
    <w:rsid w:val="003A109F"/>
    <w:rsid w:val="003B17EA"/>
    <w:rsid w:val="003C4915"/>
    <w:rsid w:val="003E169D"/>
    <w:rsid w:val="004E64A0"/>
    <w:rsid w:val="00533E0F"/>
    <w:rsid w:val="00536A25"/>
    <w:rsid w:val="005502B6"/>
    <w:rsid w:val="00573F4F"/>
    <w:rsid w:val="00585FC6"/>
    <w:rsid w:val="005B0619"/>
    <w:rsid w:val="005B6312"/>
    <w:rsid w:val="00601A51"/>
    <w:rsid w:val="006E6FFF"/>
    <w:rsid w:val="00701DD1"/>
    <w:rsid w:val="0073724A"/>
    <w:rsid w:val="007613F5"/>
    <w:rsid w:val="00762462"/>
    <w:rsid w:val="0077505A"/>
    <w:rsid w:val="00794598"/>
    <w:rsid w:val="007A47B1"/>
    <w:rsid w:val="007B6039"/>
    <w:rsid w:val="007E5D18"/>
    <w:rsid w:val="0088251F"/>
    <w:rsid w:val="00895B3F"/>
    <w:rsid w:val="008A38B4"/>
    <w:rsid w:val="008A6C97"/>
    <w:rsid w:val="008F0142"/>
    <w:rsid w:val="00914FD5"/>
    <w:rsid w:val="00956F2F"/>
    <w:rsid w:val="0099790C"/>
    <w:rsid w:val="009B51CC"/>
    <w:rsid w:val="009C5C73"/>
    <w:rsid w:val="009D451C"/>
    <w:rsid w:val="009F5DCC"/>
    <w:rsid w:val="00A156F2"/>
    <w:rsid w:val="00A22279"/>
    <w:rsid w:val="00A2306A"/>
    <w:rsid w:val="00A5308A"/>
    <w:rsid w:val="00A74096"/>
    <w:rsid w:val="00AA6A47"/>
    <w:rsid w:val="00B44F89"/>
    <w:rsid w:val="00B63C81"/>
    <w:rsid w:val="00B901DC"/>
    <w:rsid w:val="00BB3E64"/>
    <w:rsid w:val="00BD2167"/>
    <w:rsid w:val="00C3224C"/>
    <w:rsid w:val="00C3558E"/>
    <w:rsid w:val="00C413D4"/>
    <w:rsid w:val="00CD70D5"/>
    <w:rsid w:val="00CE7B41"/>
    <w:rsid w:val="00D05835"/>
    <w:rsid w:val="00D47DFE"/>
    <w:rsid w:val="00D56E92"/>
    <w:rsid w:val="00D806E4"/>
    <w:rsid w:val="00D80ED6"/>
    <w:rsid w:val="00D90A12"/>
    <w:rsid w:val="00DA5BFC"/>
    <w:rsid w:val="00E31F85"/>
    <w:rsid w:val="00E37CDA"/>
    <w:rsid w:val="00E453AB"/>
    <w:rsid w:val="00E504D5"/>
    <w:rsid w:val="00EA6504"/>
    <w:rsid w:val="00F42C28"/>
    <w:rsid w:val="00F57A97"/>
    <w:rsid w:val="00F6065E"/>
    <w:rsid w:val="00F920E1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5240"/>
  <w15:chartTrackingRefBased/>
  <w15:docId w15:val="{5EDD2D3C-4A26-4293-82CB-2129E54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6D2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126D2"/>
    <w:pPr>
      <w:keepNext/>
      <w:keepLines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D2"/>
    <w:pPr>
      <w:keepNext/>
      <w:keepLines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6D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6D2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A6C97"/>
    <w:pPr>
      <w:keepNext/>
      <w:keepLines/>
      <w:spacing w:before="40"/>
      <w:outlineLvl w:val="4"/>
    </w:pPr>
    <w:rPr>
      <w:rFonts w:eastAsiaTheme="majorEastAsia" w:cstheme="majorBidi"/>
      <w:color w:val="B312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6D2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6D2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6D2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26D2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8A6C97"/>
    <w:rPr>
      <w:rFonts w:eastAsiaTheme="majorEastAsia" w:cstheme="majorBidi"/>
      <w:color w:val="B31244" w:themeColor="accent1" w:themeShade="BF"/>
    </w:rPr>
  </w:style>
  <w:style w:type="paragraph" w:styleId="Title">
    <w:name w:val="Title"/>
    <w:aliases w:val="Cover page"/>
    <w:basedOn w:val="Normal"/>
    <w:next w:val="Normal"/>
    <w:link w:val="TitleChar"/>
    <w:uiPriority w:val="10"/>
    <w:qFormat/>
    <w:rsid w:val="002126D2"/>
    <w:pPr>
      <w:jc w:val="center"/>
    </w:pPr>
    <w:rPr>
      <w:rFonts w:eastAsiaTheme="majorEastAsia" w:cstheme="majorBidi"/>
      <w:b/>
      <w:spacing w:val="-10"/>
      <w:kern w:val="28"/>
      <w:sz w:val="110"/>
      <w:szCs w:val="56"/>
    </w:rPr>
  </w:style>
  <w:style w:type="character" w:customStyle="1" w:styleId="TitleChar">
    <w:name w:val="Title Char"/>
    <w:aliases w:val="Cover page Char"/>
    <w:basedOn w:val="DefaultParagraphFont"/>
    <w:link w:val="Title"/>
    <w:uiPriority w:val="10"/>
    <w:rsid w:val="002126D2"/>
    <w:rPr>
      <w:rFonts w:eastAsiaTheme="majorEastAsia" w:cstheme="majorBidi"/>
      <w:b/>
      <w:spacing w:val="-10"/>
      <w:kern w:val="28"/>
      <w:sz w:val="110"/>
      <w:szCs w:val="56"/>
    </w:rPr>
  </w:style>
  <w:style w:type="paragraph" w:styleId="NoSpacing">
    <w:name w:val="No Spacing"/>
    <w:uiPriority w:val="1"/>
    <w:rsid w:val="008A6C97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096D4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96D4C"/>
    <w:pPr>
      <w:spacing w:before="200"/>
      <w:ind w:left="864" w:right="864"/>
    </w:pPr>
    <w:rPr>
      <w:rFonts w:ascii="Georgia" w:hAnsi="Georgia"/>
      <w:i/>
      <w:iCs/>
      <w:color w:val="404040" w:themeColor="text1" w:themeTint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96D4C"/>
    <w:rPr>
      <w:rFonts w:ascii="Georgia" w:hAnsi="Georgia"/>
      <w:i/>
      <w:iCs/>
      <w:color w:val="404040" w:themeColor="text1" w:themeTint="BF"/>
      <w:sz w:val="28"/>
    </w:rPr>
  </w:style>
  <w:style w:type="table" w:styleId="TableGrid">
    <w:name w:val="Table Grid"/>
    <w:basedOn w:val="TableNormal"/>
    <w:uiPriority w:val="39"/>
    <w:rsid w:val="0012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inCap theme">
  <a:themeElements>
    <a:clrScheme name="FinCap Style">
      <a:dk1>
        <a:sysClr val="windowText" lastClr="000000"/>
      </a:dk1>
      <a:lt1>
        <a:sysClr val="window" lastClr="FFFFFF"/>
      </a:lt1>
      <a:dk2>
        <a:srgbClr val="484848"/>
      </a:dk2>
      <a:lt2>
        <a:srgbClr val="E7E6E6"/>
      </a:lt2>
      <a:accent1>
        <a:srgbClr val="E8215F"/>
      </a:accent1>
      <a:accent2>
        <a:srgbClr val="AA216B"/>
      </a:accent2>
      <a:accent3>
        <a:srgbClr val="EF6A45"/>
      </a:accent3>
      <a:accent4>
        <a:srgbClr val="27AAE1"/>
      </a:accent4>
      <a:accent5>
        <a:srgbClr val="B8BD3B"/>
      </a:accent5>
      <a:accent6>
        <a:srgbClr val="78BDBC"/>
      </a:accent6>
      <a:hlink>
        <a:srgbClr val="13698B"/>
      </a:hlink>
      <a:folHlink>
        <a:srgbClr val="AA216B"/>
      </a:folHlink>
    </a:clrScheme>
    <a:fontScheme name="FinCap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4C1B510B6B1479EEA9FBA2781F1FF" ma:contentTypeVersion="13" ma:contentTypeDescription="Create a new document." ma:contentTypeScope="" ma:versionID="1948b6bb6ce09dbacc58247ff3b5d90b">
  <xsd:schema xmlns:xsd="http://www.w3.org/2001/XMLSchema" xmlns:xs="http://www.w3.org/2001/XMLSchema" xmlns:p="http://schemas.microsoft.com/office/2006/metadata/properties" xmlns:ns3="d490fa26-cb2f-4c05-ae50-f24cf33bcce2" xmlns:ns4="8778ef29-7bb9-401e-a8ab-29807aec3d90" targetNamespace="http://schemas.microsoft.com/office/2006/metadata/properties" ma:root="true" ma:fieldsID="8275cbda08e7adb88e383e84330873c7" ns3:_="" ns4:_="">
    <xsd:import namespace="d490fa26-cb2f-4c05-ae50-f24cf33bcce2"/>
    <xsd:import namespace="8778ef29-7bb9-401e-a8ab-29807aec3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fa26-cb2f-4c05-ae50-f24cf33bc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8ef29-7bb9-401e-a8ab-29807aec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D40AD-6977-48AE-98F6-C3FCCC46A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0F3A1-E178-4D01-9834-340FAEAE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0fa26-cb2f-4c05-ae50-f24cf33bcce2"/>
    <ds:schemaRef ds:uri="8778ef29-7bb9-401e-a8ab-29807aec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640F7-881C-4E57-849E-E0F0A9F77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82</cp:revision>
  <dcterms:created xsi:type="dcterms:W3CDTF">2020-04-23T19:38:00Z</dcterms:created>
  <dcterms:modified xsi:type="dcterms:W3CDTF">2020-04-25T20:03:00Z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0x0101000A94C1B510B6B1479EEA9FBA2781F1FF</vt:lpwstr>
  </property>
</Properties>
</file>